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3" w:firstLineChars="200"/>
        <w:textAlignment w:val="auto"/>
        <w:rPr>
          <w:rFonts w:hint="eastAsia" w:ascii="仿宋_GB2312" w:hAnsi="仿宋_GB2312" w:cs="仿宋_GB2312"/>
          <w:b/>
          <w:bCs/>
          <w:color w:val="auto"/>
          <w:highlight w:val="none"/>
          <w:u w:val="none"/>
        </w:rPr>
      </w:pPr>
      <w:r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助理农艺师（助理畜牧师、助理兽医师）职称评价基本标准条件按照《人力资源社会保障部 农业农村部 关于深化农业技术人员职称制度改革的指导意见》</w:t>
      </w:r>
      <w:r>
        <w:rPr>
          <w:rFonts w:hint="eastAsia" w:ascii="仿宋_GB2312" w:hAnsi="仿宋_GB2312" w:cs="仿宋_GB2312"/>
          <w:b/>
          <w:bCs/>
          <w:color w:val="auto"/>
          <w:spacing w:val="-11"/>
          <w:highlight w:val="none"/>
          <w:u w:val="none"/>
        </w:rPr>
        <w:t>（人社部发〔2019〕114号</w:t>
      </w:r>
      <w:r>
        <w:rPr>
          <w:rFonts w:hint="eastAsia" w:ascii="仿宋_GB2312" w:hAnsi="仿宋_GB2312" w:cs="仿宋_GB2312"/>
          <w:b/>
          <w:bCs/>
          <w:color w:val="auto"/>
          <w:spacing w:val="-11"/>
          <w:highlight w:val="none"/>
          <w:u w:val="none"/>
          <w:lang w:eastAsia="zh-CN"/>
        </w:rPr>
        <w:t>）中《农业技术人员职称评价基本标准》</w:t>
      </w:r>
      <w:r>
        <w:rPr>
          <w:rFonts w:hint="eastAsia" w:ascii="仿宋_GB2312" w:hAnsi="仿宋_GB2312" w:cs="仿宋_GB2312"/>
          <w:b/>
          <w:bCs/>
          <w:color w:val="auto"/>
          <w:spacing w:val="-11"/>
          <w:highlight w:val="none"/>
          <w:u w:val="none"/>
        </w:rPr>
        <w:t>相关规定执行http://www.mohrss.gov.cn/xxgk2020/fdzdgknr/zcfg/gfxwj/rcrs/201911/t20191107_340635.html。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1．掌握本专业的基础理论和专业技术知识。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2．具有独立完成一般性技术工作的实际能力，能够处理本专业范围内一般性技术难题。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3．能够向群众传授本专业技术知识，进行一般性技术指导或技术咨询服务工作。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4．具有指导农业技术员的能力。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5．具备硕士学位或第二学士学位；或具备大学本科学历或学士学位，从事本专业技术工作满1年；或具备大学专科学历，取得本系列员级职称后，从事本专业技术工作满2年；或具备高中（含中专、职高、技校）毕业学历，取得本系列员级职称后，从事本专业技术工作满4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outlineLvl w:val="9"/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outlineLvl w:val="9"/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outlineLvl w:val="9"/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outlineLvl w:val="9"/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outlineLvl w:val="9"/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outlineLvl w:val="9"/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outlineLvl w:val="9"/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助理工程师职称评价基本标准条件按照《人力资源社会保障部 工业和信息化部关于深化工程技术人才职称制度改革的指导意见》（人社部发〔2019〕16号）中《工程技术人才职称评价基本标准条件》相关规定执行http://www.mohrss.gov.cn/xxgk2020/fdzdgknr/zcfg/gfxwj/rcrs/201902/t20190222_310736.html?keywords=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1.掌握本专业的基础理论知识和专业技术知识。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2.具有独立完成一般性技术工作的实际能力，能处理本专业范围内一般性技术难题。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3.具有指导技术员工作的能力。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highlight w:val="none"/>
          <w:u w:val="none"/>
          <w:lang w:val="en-US" w:eastAsia="zh-CN"/>
        </w:rPr>
        <w:t>4.具备硕士学位或第二学士学位；或具备大学本科学历或学士学位，在工程技术岗位见习1年期满，经考察合格；或具备大学专科学历，取得技术员职称后，从事技术工作满2年；或具备中等职业学校毕业学历，取得技术员职称后，从事技术工作满4年。技工院校毕业生按国家有关规定申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845F0"/>
    <w:rsid w:val="04D76E87"/>
    <w:rsid w:val="240C3CC9"/>
    <w:rsid w:val="4858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2023-06-19T08:14:00Z</dcterms:created>
  <dc:creator>雷燕</dc:creator>
  <cp:lastModifiedBy>雷燕</cp:lastModifiedBy>
  <dcterms:modified xsi:type="dcterms:W3CDTF">2023-06-19T08:36:42Z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